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D1C0E" w14:textId="77777777" w:rsidR="000C6B2B" w:rsidRDefault="00DF129A" w:rsidP="000C6B2B">
      <w:pPr>
        <w:jc w:val="center"/>
        <w:rPr>
          <w:rFonts w:ascii="Aptos" w:hAnsi="Aptos"/>
          <w:b/>
          <w:bCs/>
          <w:sz w:val="24"/>
          <w:szCs w:val="24"/>
        </w:rPr>
      </w:pPr>
      <w:r w:rsidRPr="000C6B2B">
        <w:rPr>
          <w:rFonts w:ascii="Aptos" w:hAnsi="Aptos"/>
          <w:b/>
          <w:bCs/>
          <w:sz w:val="24"/>
          <w:szCs w:val="24"/>
        </w:rPr>
        <w:t xml:space="preserve">European Commission Call for Evidence </w:t>
      </w:r>
    </w:p>
    <w:p w14:paraId="6B09A495" w14:textId="2E2A794C" w:rsidR="00DF129A" w:rsidRPr="000C6B2B" w:rsidRDefault="00DF129A" w:rsidP="000C6B2B">
      <w:pPr>
        <w:jc w:val="center"/>
        <w:rPr>
          <w:rFonts w:ascii="Aptos" w:hAnsi="Aptos"/>
          <w:b/>
          <w:bCs/>
          <w:sz w:val="24"/>
          <w:szCs w:val="24"/>
        </w:rPr>
      </w:pPr>
      <w:r w:rsidRPr="000C6B2B">
        <w:rPr>
          <w:rFonts w:ascii="Aptos" w:hAnsi="Aptos"/>
          <w:b/>
          <w:bCs/>
          <w:sz w:val="24"/>
          <w:szCs w:val="24"/>
        </w:rPr>
        <w:t>in the context of</w:t>
      </w:r>
      <w:r w:rsidR="00AB20A8">
        <w:rPr>
          <w:rFonts w:ascii="Aptos" w:hAnsi="Aptos"/>
          <w:b/>
          <w:bCs/>
          <w:sz w:val="24"/>
          <w:szCs w:val="24"/>
        </w:rPr>
        <w:t xml:space="preserve"> </w:t>
      </w:r>
      <w:r w:rsidR="00B44D29">
        <w:rPr>
          <w:rFonts w:ascii="Aptos" w:hAnsi="Aptos"/>
          <w:b/>
          <w:bCs/>
          <w:sz w:val="24"/>
          <w:szCs w:val="24"/>
        </w:rPr>
        <w:t xml:space="preserve">the evaluation of </w:t>
      </w:r>
      <w:r w:rsidRPr="000C6B2B">
        <w:rPr>
          <w:rFonts w:ascii="Aptos" w:hAnsi="Aptos"/>
          <w:b/>
          <w:bCs/>
          <w:sz w:val="24"/>
          <w:szCs w:val="24"/>
        </w:rPr>
        <w:t>the EU Geo</w:t>
      </w:r>
      <w:r w:rsidR="00127810">
        <w:rPr>
          <w:rFonts w:ascii="Aptos" w:hAnsi="Aptos"/>
          <w:b/>
          <w:bCs/>
          <w:sz w:val="24"/>
          <w:szCs w:val="24"/>
        </w:rPr>
        <w:t>-</w:t>
      </w:r>
      <w:r w:rsidRPr="000C6B2B">
        <w:rPr>
          <w:rFonts w:ascii="Aptos" w:hAnsi="Aptos"/>
          <w:b/>
          <w:bCs/>
          <w:sz w:val="24"/>
          <w:szCs w:val="24"/>
        </w:rPr>
        <w:t>blocking Regulation</w:t>
      </w:r>
    </w:p>
    <w:p w14:paraId="022E16CB" w14:textId="77777777" w:rsidR="009B5863" w:rsidRPr="006B4288" w:rsidRDefault="009B5863" w:rsidP="006B4288">
      <w:pPr>
        <w:jc w:val="both"/>
        <w:rPr>
          <w:rFonts w:ascii="Aptos" w:hAnsi="Aptos"/>
          <w:sz w:val="24"/>
          <w:szCs w:val="24"/>
        </w:rPr>
      </w:pPr>
    </w:p>
    <w:p w14:paraId="071761C4" w14:textId="193A28AD" w:rsidR="009B5863" w:rsidRPr="00127810" w:rsidRDefault="009B5863" w:rsidP="00127810">
      <w:pPr>
        <w:spacing w:line="240" w:lineRule="auto"/>
        <w:jc w:val="both"/>
        <w:rPr>
          <w:rFonts w:ascii="Aptos" w:hAnsi="Aptos"/>
          <w:sz w:val="24"/>
          <w:szCs w:val="24"/>
        </w:rPr>
      </w:pPr>
      <w:r w:rsidRPr="00127810">
        <w:rPr>
          <w:rFonts w:ascii="Aptos" w:hAnsi="Aptos"/>
          <w:sz w:val="24"/>
          <w:szCs w:val="24"/>
        </w:rPr>
        <w:t>Call for Evidence</w:t>
      </w:r>
      <w:r w:rsidR="00173B1A" w:rsidRPr="00127810">
        <w:rPr>
          <w:rFonts w:ascii="Aptos" w:hAnsi="Aptos"/>
          <w:sz w:val="24"/>
          <w:szCs w:val="24"/>
        </w:rPr>
        <w:t xml:space="preserve"> Request</w:t>
      </w:r>
      <w:r w:rsidRPr="00127810">
        <w:rPr>
          <w:rFonts w:ascii="Aptos" w:hAnsi="Aptos"/>
          <w:sz w:val="24"/>
          <w:szCs w:val="24"/>
        </w:rPr>
        <w:t xml:space="preserve"> </w:t>
      </w:r>
      <w:hyperlink r:id="rId5" w:history="1">
        <w:r w:rsidRPr="00127810">
          <w:rPr>
            <w:rStyle w:val="Hyperlink"/>
            <w:rFonts w:ascii="Aptos" w:hAnsi="Aptos"/>
            <w:sz w:val="24"/>
            <w:szCs w:val="24"/>
          </w:rPr>
          <w:t>here</w:t>
        </w:r>
      </w:hyperlink>
      <w:r w:rsidRPr="00127810">
        <w:rPr>
          <w:rFonts w:ascii="Aptos" w:hAnsi="Aptos"/>
          <w:sz w:val="24"/>
          <w:szCs w:val="24"/>
        </w:rPr>
        <w:t xml:space="preserve"> – </w:t>
      </w:r>
      <w:r w:rsidR="001B6056">
        <w:rPr>
          <w:rFonts w:ascii="Aptos" w:hAnsi="Aptos"/>
          <w:sz w:val="24"/>
          <w:szCs w:val="24"/>
        </w:rPr>
        <w:t xml:space="preserve">follow the </w:t>
      </w:r>
      <w:r w:rsidR="007341D4" w:rsidRPr="00127810">
        <w:rPr>
          <w:rFonts w:ascii="Aptos" w:hAnsi="Aptos"/>
          <w:sz w:val="24"/>
          <w:szCs w:val="24"/>
        </w:rPr>
        <w:t>link to</w:t>
      </w:r>
      <w:r w:rsidR="001B6056">
        <w:rPr>
          <w:rFonts w:ascii="Aptos" w:hAnsi="Aptos"/>
          <w:sz w:val="24"/>
          <w:szCs w:val="24"/>
        </w:rPr>
        <w:t xml:space="preserve"> the</w:t>
      </w:r>
      <w:r w:rsidR="007341D4" w:rsidRPr="00127810">
        <w:rPr>
          <w:rFonts w:ascii="Aptos" w:hAnsi="Aptos"/>
          <w:sz w:val="24"/>
          <w:szCs w:val="24"/>
        </w:rPr>
        <w:t xml:space="preserve"> ‘Have Your Say’ </w:t>
      </w:r>
      <w:r w:rsidR="00AD1FAA" w:rsidRPr="00127810">
        <w:rPr>
          <w:rFonts w:ascii="Aptos" w:hAnsi="Aptos"/>
          <w:sz w:val="24"/>
          <w:szCs w:val="24"/>
        </w:rPr>
        <w:t>page (</w:t>
      </w:r>
      <w:r w:rsidRPr="00127810">
        <w:rPr>
          <w:rFonts w:ascii="Aptos" w:hAnsi="Aptos"/>
          <w:sz w:val="24"/>
          <w:szCs w:val="24"/>
        </w:rPr>
        <w:t xml:space="preserve">note that </w:t>
      </w:r>
      <w:r w:rsidR="001B6056">
        <w:rPr>
          <w:rFonts w:ascii="Aptos" w:hAnsi="Aptos"/>
          <w:sz w:val="24"/>
          <w:szCs w:val="24"/>
        </w:rPr>
        <w:t xml:space="preserve">the </w:t>
      </w:r>
      <w:r w:rsidRPr="00127810">
        <w:rPr>
          <w:rFonts w:ascii="Aptos" w:hAnsi="Aptos"/>
          <w:sz w:val="24"/>
          <w:szCs w:val="24"/>
        </w:rPr>
        <w:t>respondent must have EU-Login</w:t>
      </w:r>
      <w:r w:rsidR="00AD1FAA" w:rsidRPr="00127810">
        <w:rPr>
          <w:rFonts w:ascii="Aptos" w:hAnsi="Aptos"/>
          <w:sz w:val="24"/>
          <w:szCs w:val="24"/>
        </w:rPr>
        <w:t xml:space="preserve">) with possibility to file </w:t>
      </w:r>
      <w:r w:rsidR="00AD1FAA" w:rsidRPr="001B6056">
        <w:rPr>
          <w:rFonts w:ascii="Aptos" w:hAnsi="Aptos"/>
          <w:sz w:val="24"/>
          <w:szCs w:val="24"/>
          <w:u w:val="single"/>
        </w:rPr>
        <w:t>comment</w:t>
      </w:r>
      <w:r w:rsidR="001B6056" w:rsidRPr="001B6056">
        <w:rPr>
          <w:rFonts w:ascii="Aptos" w:hAnsi="Aptos"/>
          <w:sz w:val="24"/>
          <w:szCs w:val="24"/>
          <w:u w:val="single"/>
        </w:rPr>
        <w:t>s</w:t>
      </w:r>
      <w:r w:rsidR="00AD1FAA" w:rsidRPr="00127810">
        <w:rPr>
          <w:rFonts w:ascii="Aptos" w:hAnsi="Aptos"/>
          <w:sz w:val="24"/>
          <w:szCs w:val="24"/>
        </w:rPr>
        <w:t xml:space="preserve"> </w:t>
      </w:r>
      <w:r w:rsidR="00495EDE" w:rsidRPr="00127810">
        <w:rPr>
          <w:rFonts w:ascii="Aptos" w:hAnsi="Aptos"/>
          <w:sz w:val="24"/>
          <w:szCs w:val="24"/>
        </w:rPr>
        <w:t xml:space="preserve">(max </w:t>
      </w:r>
      <w:r w:rsidR="00495EDE" w:rsidRPr="00127810">
        <w:rPr>
          <w:rFonts w:ascii="Aptos" w:hAnsi="Aptos"/>
          <w:sz w:val="24"/>
          <w:szCs w:val="24"/>
        </w:rPr>
        <w:t>4000 characters</w:t>
      </w:r>
      <w:r w:rsidR="00495EDE" w:rsidRPr="00127810">
        <w:rPr>
          <w:rFonts w:ascii="Aptos" w:hAnsi="Aptos"/>
          <w:sz w:val="24"/>
          <w:szCs w:val="24"/>
        </w:rPr>
        <w:t xml:space="preserve">) </w:t>
      </w:r>
      <w:r w:rsidR="00AD1FAA" w:rsidRPr="00127810">
        <w:rPr>
          <w:rFonts w:ascii="Aptos" w:hAnsi="Aptos"/>
          <w:sz w:val="24"/>
          <w:szCs w:val="24"/>
        </w:rPr>
        <w:t>and upload</w:t>
      </w:r>
      <w:r w:rsidR="001B6056">
        <w:rPr>
          <w:rFonts w:ascii="Aptos" w:hAnsi="Aptos"/>
          <w:sz w:val="24"/>
          <w:szCs w:val="24"/>
        </w:rPr>
        <w:t xml:space="preserve"> a</w:t>
      </w:r>
      <w:r w:rsidR="00AD1FAA" w:rsidRPr="00127810">
        <w:rPr>
          <w:rFonts w:ascii="Aptos" w:hAnsi="Aptos"/>
          <w:sz w:val="24"/>
          <w:szCs w:val="24"/>
        </w:rPr>
        <w:t xml:space="preserve"> </w:t>
      </w:r>
      <w:r w:rsidR="00495EDE" w:rsidRPr="001B6056">
        <w:rPr>
          <w:rFonts w:ascii="Aptos" w:hAnsi="Aptos"/>
          <w:sz w:val="24"/>
          <w:szCs w:val="24"/>
          <w:u w:val="single"/>
        </w:rPr>
        <w:t>supporting document</w:t>
      </w:r>
      <w:r w:rsidR="00495EDE" w:rsidRPr="00127810">
        <w:rPr>
          <w:rFonts w:ascii="Aptos" w:hAnsi="Aptos"/>
          <w:sz w:val="24"/>
          <w:szCs w:val="24"/>
        </w:rPr>
        <w:t xml:space="preserve"> (max 5MB).</w:t>
      </w:r>
    </w:p>
    <w:p w14:paraId="3A299555" w14:textId="2E7C2437" w:rsidR="00DF129A" w:rsidRPr="00127810" w:rsidRDefault="00E56DA7" w:rsidP="00127810">
      <w:pPr>
        <w:spacing w:line="240" w:lineRule="auto"/>
        <w:jc w:val="both"/>
        <w:rPr>
          <w:rFonts w:ascii="Aptos" w:hAnsi="Aptos"/>
          <w:sz w:val="24"/>
          <w:szCs w:val="24"/>
          <w:highlight w:val="yellow"/>
        </w:rPr>
      </w:pPr>
      <w:r w:rsidRPr="00127810">
        <w:rPr>
          <w:rFonts w:ascii="Aptos" w:hAnsi="Aptos"/>
          <w:sz w:val="24"/>
          <w:szCs w:val="24"/>
          <w:highlight w:val="yellow"/>
        </w:rPr>
        <w:t xml:space="preserve">A suggestion </w:t>
      </w:r>
      <w:r w:rsidR="00AC0735" w:rsidRPr="00127810">
        <w:rPr>
          <w:rFonts w:ascii="Aptos" w:hAnsi="Aptos"/>
          <w:sz w:val="24"/>
          <w:szCs w:val="24"/>
          <w:highlight w:val="yellow"/>
        </w:rPr>
        <w:t xml:space="preserve">for the </w:t>
      </w:r>
      <w:r w:rsidR="00AC0735" w:rsidRPr="00B44D29">
        <w:rPr>
          <w:rFonts w:ascii="Aptos" w:hAnsi="Aptos"/>
          <w:sz w:val="24"/>
          <w:szCs w:val="24"/>
          <w:highlight w:val="yellow"/>
          <w:u w:val="single"/>
        </w:rPr>
        <w:t xml:space="preserve">4000 characters </w:t>
      </w:r>
      <w:r w:rsidR="000C6B2B" w:rsidRPr="00B44D29">
        <w:rPr>
          <w:rFonts w:ascii="Aptos" w:hAnsi="Aptos"/>
          <w:sz w:val="24"/>
          <w:szCs w:val="24"/>
          <w:highlight w:val="yellow"/>
          <w:u w:val="single"/>
        </w:rPr>
        <w:t>comments</w:t>
      </w:r>
      <w:r w:rsidR="000C6B2B" w:rsidRPr="00127810">
        <w:rPr>
          <w:rFonts w:ascii="Aptos" w:hAnsi="Aptos"/>
          <w:sz w:val="24"/>
          <w:szCs w:val="24"/>
          <w:highlight w:val="yellow"/>
        </w:rPr>
        <w:t xml:space="preserve"> </w:t>
      </w:r>
      <w:r w:rsidR="00AC0735" w:rsidRPr="00127810">
        <w:rPr>
          <w:rFonts w:ascii="Aptos" w:hAnsi="Aptos"/>
          <w:sz w:val="24"/>
          <w:szCs w:val="24"/>
          <w:highlight w:val="yellow"/>
        </w:rPr>
        <w:t>could be the following (adapted of course to specific sector segments and/or focus)</w:t>
      </w:r>
      <w:r w:rsidR="00B44D29">
        <w:rPr>
          <w:rFonts w:ascii="Aptos" w:hAnsi="Aptos"/>
          <w:sz w:val="24"/>
          <w:szCs w:val="24"/>
          <w:highlight w:val="yellow"/>
        </w:rPr>
        <w:t>:</w:t>
      </w:r>
    </w:p>
    <w:p w14:paraId="1F17FACE" w14:textId="74932F48" w:rsidR="00F86CAA" w:rsidRDefault="00F86CAA" w:rsidP="00F86CAA">
      <w:pPr>
        <w:spacing w:line="240" w:lineRule="auto"/>
        <w:jc w:val="both"/>
        <w:rPr>
          <w:rFonts w:ascii="Aptos" w:hAnsi="Aptos"/>
          <w:sz w:val="24"/>
          <w:szCs w:val="24"/>
        </w:rPr>
      </w:pPr>
      <w:r>
        <w:rPr>
          <w:rFonts w:ascii="Aptos" w:hAnsi="Aptos"/>
          <w:sz w:val="24"/>
          <w:szCs w:val="24"/>
        </w:rPr>
        <w:t>T</w:t>
      </w:r>
      <w:r w:rsidRPr="00127810">
        <w:rPr>
          <w:rFonts w:ascii="Aptos" w:hAnsi="Aptos"/>
          <w:sz w:val="24"/>
          <w:szCs w:val="24"/>
        </w:rPr>
        <w:t>erritorial exclusivity</w:t>
      </w:r>
      <w:r>
        <w:rPr>
          <w:rFonts w:ascii="Aptos" w:hAnsi="Aptos"/>
          <w:sz w:val="24"/>
          <w:szCs w:val="24"/>
        </w:rPr>
        <w:t>, supported by geo-blocking,</w:t>
      </w:r>
      <w:r w:rsidRPr="00127810">
        <w:rPr>
          <w:rFonts w:ascii="Aptos" w:hAnsi="Aptos"/>
          <w:sz w:val="24"/>
          <w:szCs w:val="24"/>
        </w:rPr>
        <w:t xml:space="preserve"> play</w:t>
      </w:r>
      <w:r>
        <w:rPr>
          <w:rFonts w:ascii="Aptos" w:hAnsi="Aptos"/>
          <w:sz w:val="24"/>
          <w:szCs w:val="24"/>
        </w:rPr>
        <w:t>s an indispensable role</w:t>
      </w:r>
      <w:r w:rsidRPr="00127810">
        <w:rPr>
          <w:rFonts w:ascii="Aptos" w:hAnsi="Aptos"/>
          <w:sz w:val="24"/>
          <w:szCs w:val="24"/>
        </w:rPr>
        <w:t xml:space="preserve"> in securing funding for content development, creation and production, as well </w:t>
      </w:r>
      <w:r w:rsidR="005B5CCF">
        <w:rPr>
          <w:rFonts w:ascii="Aptos" w:hAnsi="Aptos"/>
          <w:sz w:val="24"/>
          <w:szCs w:val="24"/>
        </w:rPr>
        <w:t xml:space="preserve">as </w:t>
      </w:r>
      <w:r w:rsidR="00C06AFF">
        <w:rPr>
          <w:rFonts w:ascii="Aptos" w:hAnsi="Aptos"/>
          <w:sz w:val="24"/>
          <w:szCs w:val="24"/>
        </w:rPr>
        <w:t>provid</w:t>
      </w:r>
      <w:r w:rsidR="00195457">
        <w:rPr>
          <w:rFonts w:ascii="Aptos" w:hAnsi="Aptos"/>
          <w:sz w:val="24"/>
          <w:szCs w:val="24"/>
        </w:rPr>
        <w:t>ing</w:t>
      </w:r>
      <w:r w:rsidR="00C06AFF">
        <w:rPr>
          <w:rFonts w:ascii="Aptos" w:hAnsi="Aptos"/>
          <w:sz w:val="24"/>
          <w:szCs w:val="24"/>
        </w:rPr>
        <w:t xml:space="preserve"> for the </w:t>
      </w:r>
      <w:r w:rsidRPr="00127810">
        <w:rPr>
          <w:rFonts w:ascii="Aptos" w:hAnsi="Aptos"/>
          <w:sz w:val="24"/>
          <w:szCs w:val="24"/>
        </w:rPr>
        <w:t xml:space="preserve">the optimal marketing, distribution and exploitation </w:t>
      </w:r>
      <w:r w:rsidR="00195457">
        <w:rPr>
          <w:rFonts w:ascii="Aptos" w:hAnsi="Aptos"/>
          <w:sz w:val="24"/>
          <w:szCs w:val="24"/>
        </w:rPr>
        <w:t>of the finished film, TV and other audiovisual content</w:t>
      </w:r>
      <w:r w:rsidR="00D95A5E">
        <w:rPr>
          <w:rFonts w:ascii="Aptos" w:hAnsi="Aptos"/>
          <w:sz w:val="24"/>
          <w:szCs w:val="24"/>
        </w:rPr>
        <w:t xml:space="preserve"> across all distribution channels </w:t>
      </w:r>
      <w:r w:rsidR="00D95A5E" w:rsidRPr="00127810">
        <w:rPr>
          <w:rFonts w:ascii="Aptos" w:hAnsi="Aptos"/>
          <w:sz w:val="24"/>
          <w:szCs w:val="24"/>
        </w:rPr>
        <w:t xml:space="preserve">(theatrical, physical carriers, </w:t>
      </w:r>
      <w:r w:rsidR="00D95A5E">
        <w:rPr>
          <w:rFonts w:ascii="Aptos" w:hAnsi="Aptos"/>
          <w:sz w:val="24"/>
          <w:szCs w:val="24"/>
        </w:rPr>
        <w:t xml:space="preserve">all forms of </w:t>
      </w:r>
      <w:r w:rsidR="00D95A5E" w:rsidRPr="00127810">
        <w:rPr>
          <w:rFonts w:ascii="Aptos" w:hAnsi="Aptos"/>
          <w:sz w:val="24"/>
          <w:szCs w:val="24"/>
        </w:rPr>
        <w:t xml:space="preserve">broadcasting and </w:t>
      </w:r>
      <w:r w:rsidR="00D95A5E">
        <w:rPr>
          <w:rFonts w:ascii="Aptos" w:hAnsi="Aptos"/>
          <w:sz w:val="24"/>
          <w:szCs w:val="24"/>
        </w:rPr>
        <w:t xml:space="preserve">all forms of </w:t>
      </w:r>
      <w:r w:rsidR="00D95A5E" w:rsidRPr="00127810">
        <w:rPr>
          <w:rFonts w:ascii="Aptos" w:hAnsi="Aptos"/>
          <w:sz w:val="24"/>
          <w:szCs w:val="24"/>
        </w:rPr>
        <w:t>online</w:t>
      </w:r>
      <w:r w:rsidR="00D95A5E">
        <w:rPr>
          <w:rFonts w:ascii="Aptos" w:hAnsi="Aptos"/>
          <w:sz w:val="24"/>
          <w:szCs w:val="24"/>
        </w:rPr>
        <w:t xml:space="preserve"> distribution</w:t>
      </w:r>
      <w:r w:rsidR="00D95A5E" w:rsidRPr="00127810">
        <w:rPr>
          <w:rFonts w:ascii="Aptos" w:hAnsi="Aptos"/>
          <w:sz w:val="24"/>
          <w:szCs w:val="24"/>
        </w:rPr>
        <w:t>)</w:t>
      </w:r>
      <w:r w:rsidRPr="00127810">
        <w:rPr>
          <w:rFonts w:ascii="Aptos" w:hAnsi="Aptos"/>
          <w:sz w:val="24"/>
          <w:szCs w:val="24"/>
        </w:rPr>
        <w:t>.</w:t>
      </w:r>
    </w:p>
    <w:p w14:paraId="12F12DB1" w14:textId="4D89E2D4" w:rsidR="00997151" w:rsidRPr="00127810" w:rsidRDefault="004F6F5C" w:rsidP="00127810">
      <w:pPr>
        <w:spacing w:line="240" w:lineRule="auto"/>
        <w:jc w:val="both"/>
        <w:rPr>
          <w:rFonts w:ascii="Aptos" w:hAnsi="Aptos"/>
          <w:sz w:val="24"/>
          <w:szCs w:val="24"/>
        </w:rPr>
      </w:pPr>
      <w:r w:rsidRPr="00127810">
        <w:rPr>
          <w:rFonts w:ascii="Aptos" w:hAnsi="Aptos"/>
          <w:sz w:val="24"/>
          <w:szCs w:val="24"/>
        </w:rPr>
        <w:t>A ban on the use of geo-blocking to support territorial exclusivity for film and audiovisual content and services would severely jeopardize the creative and economic sustainability of the film and audiovisual sector in Europe. This would result in a drop in the number and range of films and audiovisual content produced, with a smaller variety of languages. Distribution and circulation would be drastically reduced across the EU. This would have a direct and negative impact on consumer welfare: significant reduction of choice in content, distribution, and access options as well as a surge in prices</w:t>
      </w:r>
      <w:r w:rsidRPr="00127810">
        <w:rPr>
          <w:rFonts w:ascii="Aptos" w:hAnsi="Aptos"/>
          <w:sz w:val="24"/>
          <w:szCs w:val="24"/>
        </w:rPr>
        <w:t>.</w:t>
      </w:r>
    </w:p>
    <w:p w14:paraId="6CEF8991" w14:textId="77777777" w:rsidR="00C677C9" w:rsidRDefault="004F6F5C" w:rsidP="00E80696">
      <w:pPr>
        <w:spacing w:line="240" w:lineRule="auto"/>
        <w:jc w:val="both"/>
        <w:rPr>
          <w:rFonts w:ascii="Aptos" w:hAnsi="Aptos"/>
          <w:sz w:val="24"/>
          <w:szCs w:val="24"/>
        </w:rPr>
      </w:pPr>
      <w:r w:rsidRPr="00127810">
        <w:rPr>
          <w:rFonts w:ascii="Aptos" w:hAnsi="Aptos"/>
          <w:sz w:val="24"/>
          <w:szCs w:val="24"/>
        </w:rPr>
        <w:t>The importance of territorial exclusivity for the European film and audiovisual sector is widely documented</w:t>
      </w:r>
      <w:r w:rsidR="00E65F5E">
        <w:rPr>
          <w:rFonts w:ascii="Aptos" w:hAnsi="Aptos"/>
          <w:sz w:val="24"/>
          <w:szCs w:val="24"/>
        </w:rPr>
        <w:t xml:space="preserve"> in </w:t>
      </w:r>
      <w:hyperlink r:id="rId6" w:history="1">
        <w:r w:rsidR="00E65F5E" w:rsidRPr="00E82EF3">
          <w:rPr>
            <w:rStyle w:val="Hyperlink"/>
            <w:rFonts w:ascii="Aptos" w:hAnsi="Aptos"/>
            <w:sz w:val="24"/>
            <w:szCs w:val="24"/>
          </w:rPr>
          <w:t>case studies</w:t>
        </w:r>
      </w:hyperlink>
      <w:r w:rsidR="00E65F5E">
        <w:rPr>
          <w:rFonts w:ascii="Aptos" w:hAnsi="Aptos"/>
          <w:sz w:val="24"/>
          <w:szCs w:val="24"/>
        </w:rPr>
        <w:t xml:space="preserve"> </w:t>
      </w:r>
      <w:r w:rsidR="00E82EF3">
        <w:rPr>
          <w:rFonts w:ascii="Aptos" w:hAnsi="Aptos"/>
          <w:sz w:val="24"/>
          <w:szCs w:val="24"/>
        </w:rPr>
        <w:t xml:space="preserve">illustrating that </w:t>
      </w:r>
      <w:r w:rsidR="00482319">
        <w:rPr>
          <w:rFonts w:ascii="Aptos" w:hAnsi="Aptos"/>
          <w:sz w:val="24"/>
          <w:szCs w:val="24"/>
        </w:rPr>
        <w:t>up to 60% of financing is often raised through territorial exclusivity such as co-production</w:t>
      </w:r>
      <w:r w:rsidR="007F6790">
        <w:rPr>
          <w:rFonts w:ascii="Aptos" w:hAnsi="Aptos"/>
          <w:sz w:val="24"/>
          <w:szCs w:val="24"/>
        </w:rPr>
        <w:t xml:space="preserve"> arrangements</w:t>
      </w:r>
      <w:r w:rsidR="00482319">
        <w:rPr>
          <w:rFonts w:ascii="Aptos" w:hAnsi="Aptos"/>
          <w:sz w:val="24"/>
          <w:szCs w:val="24"/>
        </w:rPr>
        <w:t xml:space="preserve"> between different countries and pre-sales of future distribution rights.  </w:t>
      </w:r>
      <w:r w:rsidR="00E80696" w:rsidRPr="00127810">
        <w:rPr>
          <w:rFonts w:ascii="Aptos" w:hAnsi="Aptos"/>
          <w:sz w:val="24"/>
          <w:szCs w:val="24"/>
        </w:rPr>
        <w:t>Co-productions</w:t>
      </w:r>
      <w:r w:rsidR="00AE2654">
        <w:rPr>
          <w:rFonts w:ascii="Aptos" w:hAnsi="Aptos"/>
          <w:sz w:val="24"/>
          <w:szCs w:val="24"/>
        </w:rPr>
        <w:t xml:space="preserve"> and pre-sales of future distribution rights</w:t>
      </w:r>
      <w:r w:rsidR="00E80696" w:rsidRPr="00127810">
        <w:rPr>
          <w:rFonts w:ascii="Aptos" w:hAnsi="Aptos"/>
          <w:sz w:val="24"/>
          <w:szCs w:val="24"/>
        </w:rPr>
        <w:t xml:space="preserve"> offer win-win strategies to share financial risk in production, favour greater multi-territory incubation and increased circulation/distribution that in turn ensure</w:t>
      </w:r>
      <w:r w:rsidR="00AE2654">
        <w:rPr>
          <w:rFonts w:ascii="Aptos" w:hAnsi="Aptos"/>
          <w:sz w:val="24"/>
          <w:szCs w:val="24"/>
        </w:rPr>
        <w:t>s</w:t>
      </w:r>
      <w:r w:rsidR="00E80696" w:rsidRPr="00127810">
        <w:rPr>
          <w:rFonts w:ascii="Aptos" w:hAnsi="Aptos"/>
          <w:sz w:val="24"/>
          <w:szCs w:val="24"/>
        </w:rPr>
        <w:t xml:space="preserve"> local marketing and tailoring - ultimately driving content awareness and demand</w:t>
      </w:r>
      <w:r w:rsidR="00AA5CC8">
        <w:rPr>
          <w:rFonts w:ascii="Aptos" w:hAnsi="Aptos"/>
          <w:sz w:val="24"/>
          <w:szCs w:val="24"/>
        </w:rPr>
        <w:t xml:space="preserve"> across territories</w:t>
      </w:r>
      <w:r w:rsidR="00E80696" w:rsidRPr="00127810">
        <w:rPr>
          <w:rFonts w:ascii="Aptos" w:hAnsi="Aptos"/>
          <w:sz w:val="24"/>
          <w:szCs w:val="24"/>
        </w:rPr>
        <w:t>. This has also been recognised by EU Member States</w:t>
      </w:r>
      <w:r w:rsidR="00AE2654">
        <w:rPr>
          <w:rFonts w:ascii="Aptos" w:hAnsi="Aptos"/>
          <w:sz w:val="24"/>
          <w:szCs w:val="24"/>
        </w:rPr>
        <w:t xml:space="preserve"> in consecutive Council conclusions</w:t>
      </w:r>
      <w:r w:rsidR="00A018B7">
        <w:rPr>
          <w:rFonts w:ascii="Aptos" w:hAnsi="Aptos"/>
          <w:sz w:val="24"/>
          <w:szCs w:val="24"/>
        </w:rPr>
        <w:t xml:space="preserve">.  </w:t>
      </w:r>
    </w:p>
    <w:p w14:paraId="0E7789D9" w14:textId="5DCE0872" w:rsidR="00E80696" w:rsidRPr="00127810" w:rsidRDefault="00E80696" w:rsidP="00E80696">
      <w:pPr>
        <w:spacing w:line="240" w:lineRule="auto"/>
        <w:jc w:val="both"/>
        <w:rPr>
          <w:rFonts w:ascii="Aptos" w:hAnsi="Aptos"/>
          <w:sz w:val="24"/>
          <w:szCs w:val="24"/>
        </w:rPr>
      </w:pPr>
      <w:r w:rsidRPr="00127810">
        <w:rPr>
          <w:rFonts w:ascii="Aptos" w:hAnsi="Aptos"/>
          <w:sz w:val="24"/>
          <w:szCs w:val="24"/>
        </w:rPr>
        <w:t xml:space="preserve">Consecutive impact-assessments and independent economic analysis have concluded that erosion of territorial exclusivity through a ban on the use of geo-blocking in the context of financing and distributing films and audiovisual content </w:t>
      </w:r>
      <w:r w:rsidR="00624B00">
        <w:rPr>
          <w:rFonts w:ascii="Aptos" w:hAnsi="Aptos"/>
          <w:sz w:val="24"/>
          <w:szCs w:val="24"/>
        </w:rPr>
        <w:t xml:space="preserve">would </w:t>
      </w:r>
      <w:r w:rsidRPr="00127810">
        <w:rPr>
          <w:rFonts w:ascii="Aptos" w:hAnsi="Aptos"/>
          <w:sz w:val="24"/>
          <w:szCs w:val="24"/>
        </w:rPr>
        <w:t>erode the economic value of the rights concerned with a direct and negative impact on the financing and distribution opportunities as well as on recoupment of investments</w:t>
      </w:r>
      <w:r w:rsidR="0019799C">
        <w:rPr>
          <w:rFonts w:ascii="Aptos" w:hAnsi="Aptos"/>
          <w:sz w:val="24"/>
          <w:szCs w:val="24"/>
        </w:rPr>
        <w:t xml:space="preserve">.  </w:t>
      </w:r>
      <w:r w:rsidRPr="00127810">
        <w:rPr>
          <w:rFonts w:ascii="Aptos" w:hAnsi="Aptos"/>
          <w:sz w:val="24"/>
          <w:szCs w:val="24"/>
        </w:rPr>
        <w:t xml:space="preserve">Erosion of territorial exclusivity would also have a direct and negative impact on consumer welfare resulting in less choice in content, distribution, and access options as well as higher prices. </w:t>
      </w:r>
      <w:hyperlink r:id="rId7" w:history="1">
        <w:r w:rsidRPr="00127810">
          <w:rPr>
            <w:rStyle w:val="Hyperlink"/>
            <w:rFonts w:ascii="Aptos" w:hAnsi="Aptos"/>
            <w:sz w:val="24"/>
            <w:szCs w:val="24"/>
          </w:rPr>
          <w:t>The impact of including AV in the EU Geo-blocking Regulation</w:t>
        </w:r>
      </w:hyperlink>
      <w:r w:rsidRPr="00127810">
        <w:rPr>
          <w:rFonts w:ascii="Aptos" w:hAnsi="Aptos"/>
          <w:sz w:val="24"/>
          <w:szCs w:val="24"/>
        </w:rPr>
        <w:t xml:space="preserve">, by Oxera, indicates that erosion of territorial exclusivity would have a “significant short-term impact on industry and consumers, with up to €9.3bn of welfare lost per annum—as well as medium- to long-term outcomes that would be worse than they are today (a welfare loss of up to €4.5bn per year.” Equally, as regards sports content, </w:t>
      </w:r>
      <w:hyperlink r:id="rId8" w:history="1">
        <w:r w:rsidRPr="00127810">
          <w:rPr>
            <w:rStyle w:val="Hyperlink"/>
            <w:rFonts w:ascii="Aptos" w:hAnsi="Aptos"/>
            <w:sz w:val="24"/>
            <w:szCs w:val="24"/>
          </w:rPr>
          <w:t>The impact of potential changes to geo-blocking regulation on sport</w:t>
        </w:r>
      </w:hyperlink>
      <w:r w:rsidRPr="00127810">
        <w:rPr>
          <w:rFonts w:ascii="Aptos" w:hAnsi="Aptos"/>
          <w:sz w:val="24"/>
          <w:szCs w:val="24"/>
        </w:rPr>
        <w:t xml:space="preserve">, by Oliver &amp; Ohlbaum, shows that 103 </w:t>
      </w:r>
      <w:r w:rsidRPr="00127810">
        <w:rPr>
          <w:rFonts w:ascii="Aptos" w:hAnsi="Aptos"/>
          <w:sz w:val="24"/>
          <w:szCs w:val="24"/>
        </w:rPr>
        <w:lastRenderedPageBreak/>
        <w:t>million people in the EU could be exposed to higher prices when accessing coverage of many top-tier sport competitions if a ban on geo-blocking were to be introduced.</w:t>
      </w:r>
    </w:p>
    <w:p w14:paraId="77FF3E34" w14:textId="514A7D2B" w:rsidR="00581759" w:rsidRPr="00127810" w:rsidRDefault="006F56D0" w:rsidP="00127810">
      <w:pPr>
        <w:spacing w:line="240" w:lineRule="auto"/>
        <w:jc w:val="both"/>
        <w:rPr>
          <w:rFonts w:ascii="Aptos" w:hAnsi="Aptos"/>
          <w:sz w:val="24"/>
          <w:szCs w:val="24"/>
        </w:rPr>
      </w:pPr>
      <w:r>
        <w:rPr>
          <w:rFonts w:ascii="Aptos" w:hAnsi="Aptos"/>
          <w:sz w:val="24"/>
          <w:szCs w:val="24"/>
        </w:rPr>
        <w:t>The E</w:t>
      </w:r>
      <w:r w:rsidR="001A745F">
        <w:rPr>
          <w:rFonts w:ascii="Aptos" w:hAnsi="Aptos"/>
          <w:sz w:val="24"/>
          <w:szCs w:val="24"/>
        </w:rPr>
        <w:t xml:space="preserve">U markets </w:t>
      </w:r>
      <w:r>
        <w:rPr>
          <w:rFonts w:ascii="Aptos" w:hAnsi="Aptos"/>
          <w:sz w:val="24"/>
          <w:szCs w:val="24"/>
        </w:rPr>
        <w:t xml:space="preserve">enjoy a </w:t>
      </w:r>
      <w:r w:rsidR="00E1337E">
        <w:rPr>
          <w:rFonts w:ascii="Aptos" w:hAnsi="Aptos"/>
          <w:sz w:val="24"/>
          <w:szCs w:val="24"/>
        </w:rPr>
        <w:t>dynamic</w:t>
      </w:r>
      <w:r w:rsidR="001104AB">
        <w:rPr>
          <w:rFonts w:ascii="Aptos" w:hAnsi="Aptos"/>
          <w:sz w:val="24"/>
          <w:szCs w:val="24"/>
        </w:rPr>
        <w:t>, diverse</w:t>
      </w:r>
      <w:r w:rsidR="00E1337E">
        <w:rPr>
          <w:rFonts w:ascii="Aptos" w:hAnsi="Aptos"/>
          <w:sz w:val="24"/>
          <w:szCs w:val="24"/>
        </w:rPr>
        <w:t xml:space="preserve"> and rich offer of content, services and access options </w:t>
      </w:r>
      <w:r w:rsidR="001A745F">
        <w:rPr>
          <w:rFonts w:ascii="Aptos" w:hAnsi="Aptos"/>
          <w:sz w:val="24"/>
          <w:szCs w:val="24"/>
        </w:rPr>
        <w:t xml:space="preserve">as documented in </w:t>
      </w:r>
      <w:r w:rsidR="00C74BB1">
        <w:rPr>
          <w:rFonts w:ascii="Aptos" w:hAnsi="Aptos"/>
          <w:sz w:val="24"/>
          <w:szCs w:val="24"/>
        </w:rPr>
        <w:t xml:space="preserve">research by </w:t>
      </w:r>
      <w:r w:rsidR="004F6F5C" w:rsidRPr="00127810">
        <w:rPr>
          <w:rFonts w:ascii="Aptos" w:hAnsi="Aptos"/>
          <w:sz w:val="24"/>
          <w:szCs w:val="24"/>
        </w:rPr>
        <w:t xml:space="preserve">the </w:t>
      </w:r>
      <w:hyperlink r:id="rId9" w:history="1">
        <w:r w:rsidR="004F6F5C" w:rsidRPr="00127810">
          <w:rPr>
            <w:rStyle w:val="Hyperlink"/>
            <w:rFonts w:ascii="Aptos" w:hAnsi="Aptos"/>
            <w:sz w:val="24"/>
            <w:szCs w:val="24"/>
          </w:rPr>
          <w:t>European Audiovisual Observatory</w:t>
        </w:r>
      </w:hyperlink>
      <w:r w:rsidR="004F6F5C" w:rsidRPr="00127810">
        <w:rPr>
          <w:rFonts w:ascii="Aptos" w:hAnsi="Aptos"/>
          <w:sz w:val="24"/>
          <w:szCs w:val="24"/>
        </w:rPr>
        <w:t xml:space="preserve"> and by the </w:t>
      </w:r>
      <w:hyperlink r:id="rId10" w:history="1">
        <w:r w:rsidR="004F6F5C" w:rsidRPr="00127810">
          <w:rPr>
            <w:rStyle w:val="Hyperlink"/>
            <w:rFonts w:ascii="Aptos" w:hAnsi="Aptos"/>
            <w:sz w:val="24"/>
            <w:szCs w:val="24"/>
          </w:rPr>
          <w:t>European Parliament’s Research Service</w:t>
        </w:r>
      </w:hyperlink>
      <w:r w:rsidR="004F6F5C" w:rsidRPr="00127810">
        <w:rPr>
          <w:rFonts w:ascii="Aptos" w:hAnsi="Aptos"/>
          <w:sz w:val="24"/>
          <w:szCs w:val="24"/>
        </w:rPr>
        <w:t xml:space="preserve">. </w:t>
      </w:r>
      <w:r w:rsidR="001104AB">
        <w:rPr>
          <w:rFonts w:ascii="Aptos" w:hAnsi="Aptos"/>
          <w:sz w:val="24"/>
          <w:szCs w:val="24"/>
        </w:rPr>
        <w:t xml:space="preserve"> </w:t>
      </w:r>
      <w:r w:rsidR="004F6F5C" w:rsidRPr="00127810">
        <w:rPr>
          <w:rFonts w:ascii="Aptos" w:hAnsi="Aptos"/>
          <w:sz w:val="24"/>
          <w:szCs w:val="24"/>
        </w:rPr>
        <w:t xml:space="preserve">According to the EAO, on average, European consumers have access to more than 8,500 European films online, of which 82% (~7000) are produced in other European countries – an exponential growth in content and services offered to consumers and a market development welcomed by the film and audiovisual sector in Europe. </w:t>
      </w:r>
    </w:p>
    <w:p w14:paraId="77DE5A46" w14:textId="2DF49202" w:rsidR="00B1618F" w:rsidRPr="00127810" w:rsidRDefault="001C6DF9" w:rsidP="00127810">
      <w:pPr>
        <w:spacing w:line="240" w:lineRule="auto"/>
        <w:jc w:val="both"/>
        <w:rPr>
          <w:rFonts w:ascii="Aptos" w:hAnsi="Aptos"/>
          <w:sz w:val="24"/>
          <w:szCs w:val="24"/>
        </w:rPr>
      </w:pPr>
      <w:r>
        <w:rPr>
          <w:rFonts w:ascii="Aptos" w:hAnsi="Aptos"/>
          <w:color w:val="242424"/>
          <w:sz w:val="24"/>
          <w:szCs w:val="24"/>
          <w:bdr w:val="none" w:sz="0" w:space="0" w:color="auto" w:frame="1"/>
          <w:shd w:val="clear" w:color="auto" w:fill="FFFFFF"/>
        </w:rPr>
        <w:t xml:space="preserve">Complementing </w:t>
      </w:r>
      <w:r w:rsidR="00B1618F" w:rsidRPr="00127810">
        <w:rPr>
          <w:rFonts w:ascii="Aptos" w:hAnsi="Aptos"/>
          <w:color w:val="242424"/>
          <w:sz w:val="24"/>
          <w:szCs w:val="24"/>
          <w:bdr w:val="none" w:sz="0" w:space="0" w:color="auto" w:frame="1"/>
          <w:shd w:val="clear" w:color="auto" w:fill="FFFFFF"/>
        </w:rPr>
        <w:t>th</w:t>
      </w:r>
      <w:r>
        <w:rPr>
          <w:rFonts w:ascii="Aptos" w:hAnsi="Aptos"/>
          <w:color w:val="242424"/>
          <w:sz w:val="24"/>
          <w:szCs w:val="24"/>
          <w:bdr w:val="none" w:sz="0" w:space="0" w:color="auto" w:frame="1"/>
          <w:shd w:val="clear" w:color="auto" w:fill="FFFFFF"/>
        </w:rPr>
        <w:t xml:space="preserve">is comment, </w:t>
      </w:r>
      <w:r w:rsidR="00B1618F" w:rsidRPr="00127810">
        <w:rPr>
          <w:rFonts w:ascii="Aptos" w:hAnsi="Aptos"/>
          <w:color w:val="242424"/>
          <w:sz w:val="24"/>
          <w:szCs w:val="24"/>
          <w:bdr w:val="none" w:sz="0" w:space="0" w:color="auto" w:frame="1"/>
          <w:shd w:val="clear" w:color="auto" w:fill="FFFFFF"/>
        </w:rPr>
        <w:t xml:space="preserve">please </w:t>
      </w:r>
      <w:r w:rsidR="0095653C">
        <w:rPr>
          <w:rFonts w:ascii="Aptos" w:hAnsi="Aptos"/>
          <w:color w:val="242424"/>
          <w:sz w:val="24"/>
          <w:szCs w:val="24"/>
          <w:bdr w:val="none" w:sz="0" w:space="0" w:color="auto" w:frame="1"/>
          <w:shd w:val="clear" w:color="auto" w:fill="FFFFFF"/>
        </w:rPr>
        <w:t xml:space="preserve">refer to the </w:t>
      </w:r>
      <w:hyperlink r:id="rId11" w:history="1">
        <w:r w:rsidR="0095653C" w:rsidRPr="0095653C">
          <w:rPr>
            <w:rStyle w:val="Hyperlink"/>
            <w:rFonts w:ascii="Aptos" w:hAnsi="Aptos"/>
            <w:sz w:val="24"/>
            <w:szCs w:val="24"/>
            <w:bdr w:val="none" w:sz="0" w:space="0" w:color="auto" w:frame="1"/>
            <w:shd w:val="clear" w:color="auto" w:fill="FFFFFF"/>
          </w:rPr>
          <w:t>2023 J</w:t>
        </w:r>
        <w:r w:rsidR="00B1618F" w:rsidRPr="0095653C">
          <w:rPr>
            <w:rStyle w:val="Hyperlink"/>
            <w:rFonts w:ascii="Aptos" w:hAnsi="Aptos"/>
            <w:sz w:val="24"/>
            <w:szCs w:val="24"/>
            <w:bdr w:val="none" w:sz="0" w:space="0" w:color="auto" w:frame="1"/>
            <w:shd w:val="clear" w:color="auto" w:fill="FFFFFF"/>
          </w:rPr>
          <w:t xml:space="preserve">oint </w:t>
        </w:r>
        <w:r w:rsidR="0095653C" w:rsidRPr="0095653C">
          <w:rPr>
            <w:rStyle w:val="Hyperlink"/>
            <w:rFonts w:ascii="Aptos" w:hAnsi="Aptos"/>
            <w:sz w:val="24"/>
            <w:szCs w:val="24"/>
            <w:bdr w:val="none" w:sz="0" w:space="0" w:color="auto" w:frame="1"/>
            <w:shd w:val="clear" w:color="auto" w:fill="FFFFFF"/>
          </w:rPr>
          <w:t>S</w:t>
        </w:r>
        <w:r w:rsidR="00B1618F" w:rsidRPr="0095653C">
          <w:rPr>
            <w:rStyle w:val="Hyperlink"/>
            <w:rFonts w:ascii="Aptos" w:hAnsi="Aptos"/>
            <w:sz w:val="24"/>
            <w:szCs w:val="24"/>
            <w:bdr w:val="none" w:sz="0" w:space="0" w:color="auto" w:frame="1"/>
            <w:shd w:val="clear" w:color="auto" w:fill="FFFFFF"/>
          </w:rPr>
          <w:t>tatement</w:t>
        </w:r>
      </w:hyperlink>
      <w:r w:rsidR="00B1618F" w:rsidRPr="00127810">
        <w:rPr>
          <w:rFonts w:ascii="Aptos" w:hAnsi="Aptos"/>
          <w:color w:val="242424"/>
          <w:sz w:val="24"/>
          <w:szCs w:val="24"/>
          <w:bdr w:val="none" w:sz="0" w:space="0" w:color="auto" w:frame="1"/>
          <w:shd w:val="clear" w:color="auto" w:fill="FFFFFF"/>
        </w:rPr>
        <w:t xml:space="preserve"> signed by </w:t>
      </w:r>
      <w:r w:rsidR="0095653C">
        <w:rPr>
          <w:rFonts w:ascii="Aptos" w:hAnsi="Aptos"/>
          <w:color w:val="242424"/>
          <w:sz w:val="24"/>
          <w:szCs w:val="24"/>
          <w:bdr w:val="none" w:sz="0" w:space="0" w:color="auto" w:frame="1"/>
          <w:shd w:val="clear" w:color="auto" w:fill="FFFFFF"/>
        </w:rPr>
        <w:t xml:space="preserve">more than </w:t>
      </w:r>
      <w:r w:rsidR="00B1618F" w:rsidRPr="00127810">
        <w:rPr>
          <w:rFonts w:ascii="Aptos" w:hAnsi="Aptos"/>
          <w:color w:val="242424"/>
          <w:sz w:val="24"/>
          <w:szCs w:val="24"/>
          <w:bdr w:val="none" w:sz="0" w:space="0" w:color="auto" w:frame="1"/>
          <w:shd w:val="clear" w:color="auto" w:fill="FFFFFF"/>
        </w:rPr>
        <w:t>700 organisations</w:t>
      </w:r>
      <w:r w:rsidR="0095653C">
        <w:rPr>
          <w:rFonts w:ascii="Aptos" w:hAnsi="Aptos"/>
          <w:color w:val="242424"/>
          <w:sz w:val="24"/>
          <w:szCs w:val="24"/>
          <w:bdr w:val="none" w:sz="0" w:space="0" w:color="auto" w:frame="1"/>
          <w:shd w:val="clear" w:color="auto" w:fill="FFFFFF"/>
        </w:rPr>
        <w:t xml:space="preserve"> and entities </w:t>
      </w:r>
      <w:r w:rsidR="00B1618F" w:rsidRPr="00127810">
        <w:rPr>
          <w:rFonts w:ascii="Aptos" w:hAnsi="Aptos"/>
          <w:color w:val="242424"/>
          <w:sz w:val="24"/>
          <w:szCs w:val="24"/>
          <w:bdr w:val="none" w:sz="0" w:space="0" w:color="auto" w:frame="1"/>
          <w:shd w:val="clear" w:color="auto" w:fill="FFFFFF"/>
        </w:rPr>
        <w:t>across Europe demonstrating the clear and unambiguous call to ensure </w:t>
      </w:r>
      <w:r w:rsidR="0095653C">
        <w:rPr>
          <w:rFonts w:ascii="Aptos" w:hAnsi="Aptos"/>
          <w:color w:val="242424"/>
          <w:sz w:val="24"/>
          <w:szCs w:val="24"/>
          <w:bdr w:val="none" w:sz="0" w:space="0" w:color="auto" w:frame="1"/>
          <w:shd w:val="clear" w:color="auto" w:fill="FFFFFF"/>
        </w:rPr>
        <w:t>“</w:t>
      </w:r>
      <w:r w:rsidR="00B1618F" w:rsidRPr="00127810">
        <w:rPr>
          <w:rFonts w:ascii="Aptos" w:hAnsi="Aptos"/>
          <w:i/>
          <w:iCs/>
          <w:color w:val="242424"/>
          <w:sz w:val="24"/>
          <w:szCs w:val="24"/>
          <w:bdr w:val="none" w:sz="0" w:space="0" w:color="auto" w:frame="1"/>
          <w:shd w:val="clear" w:color="auto" w:fill="FFFFFF"/>
        </w:rPr>
        <w:t>the continued exclusion of audiovisual services from the Geo-blocking Regulation</w:t>
      </w:r>
      <w:r w:rsidR="00B1618F" w:rsidRPr="00127810">
        <w:rPr>
          <w:rFonts w:ascii="Aptos" w:hAnsi="Aptos"/>
          <w:color w:val="242424"/>
          <w:sz w:val="24"/>
          <w:szCs w:val="24"/>
          <w:bdr w:val="none" w:sz="0" w:space="0" w:color="auto" w:frame="1"/>
          <w:shd w:val="clear" w:color="auto" w:fill="FFFFFF"/>
        </w:rPr>
        <w:t>”. </w:t>
      </w:r>
    </w:p>
    <w:p w14:paraId="57C9F3A2" w14:textId="77777777" w:rsidR="00B1618F" w:rsidRPr="00127810" w:rsidRDefault="00B1618F" w:rsidP="00127810">
      <w:pPr>
        <w:spacing w:line="240" w:lineRule="auto"/>
        <w:jc w:val="both"/>
        <w:rPr>
          <w:rFonts w:ascii="Aptos" w:hAnsi="Aptos"/>
          <w:sz w:val="24"/>
          <w:szCs w:val="24"/>
        </w:rPr>
      </w:pPr>
    </w:p>
    <w:p w14:paraId="154CAC16" w14:textId="013F9BE2" w:rsidR="00AC0735" w:rsidRPr="00127810" w:rsidRDefault="00AC0735" w:rsidP="00127810">
      <w:pPr>
        <w:spacing w:line="240" w:lineRule="auto"/>
        <w:jc w:val="both"/>
        <w:rPr>
          <w:rFonts w:ascii="Aptos" w:hAnsi="Aptos"/>
          <w:sz w:val="24"/>
          <w:szCs w:val="24"/>
          <w:highlight w:val="yellow"/>
        </w:rPr>
      </w:pPr>
      <w:r w:rsidRPr="00127810">
        <w:rPr>
          <w:rFonts w:ascii="Aptos" w:hAnsi="Aptos"/>
          <w:sz w:val="24"/>
          <w:szCs w:val="24"/>
          <w:highlight w:val="yellow"/>
        </w:rPr>
        <w:t xml:space="preserve">In addition, you might consider </w:t>
      </w:r>
      <w:r w:rsidR="0095653C">
        <w:rPr>
          <w:rFonts w:ascii="Aptos" w:hAnsi="Aptos"/>
          <w:sz w:val="24"/>
          <w:szCs w:val="24"/>
          <w:highlight w:val="yellow"/>
        </w:rPr>
        <w:t xml:space="preserve">also </w:t>
      </w:r>
      <w:r w:rsidRPr="00127810">
        <w:rPr>
          <w:rFonts w:ascii="Aptos" w:hAnsi="Aptos"/>
          <w:sz w:val="24"/>
          <w:szCs w:val="24"/>
          <w:highlight w:val="yellow"/>
        </w:rPr>
        <w:t>attach</w:t>
      </w:r>
      <w:r w:rsidR="0095653C">
        <w:rPr>
          <w:rFonts w:ascii="Aptos" w:hAnsi="Aptos"/>
          <w:sz w:val="24"/>
          <w:szCs w:val="24"/>
          <w:highlight w:val="yellow"/>
        </w:rPr>
        <w:t>ing</w:t>
      </w:r>
      <w:r w:rsidRPr="00127810">
        <w:rPr>
          <w:rFonts w:ascii="Aptos" w:hAnsi="Aptos"/>
          <w:sz w:val="24"/>
          <w:szCs w:val="24"/>
          <w:highlight w:val="yellow"/>
        </w:rPr>
        <w:t xml:space="preserve"> the 2023 </w:t>
      </w:r>
      <w:r w:rsidR="00D37993" w:rsidRPr="00127810">
        <w:rPr>
          <w:rFonts w:ascii="Aptos" w:hAnsi="Aptos"/>
          <w:sz w:val="24"/>
          <w:szCs w:val="24"/>
          <w:highlight w:val="yellow"/>
        </w:rPr>
        <w:t xml:space="preserve">Joint Industry Declaration signed by 713 organisations – see </w:t>
      </w:r>
      <w:hyperlink r:id="rId12" w:history="1">
        <w:r w:rsidR="00D37993" w:rsidRPr="00127810">
          <w:rPr>
            <w:rStyle w:val="Hyperlink"/>
            <w:rFonts w:ascii="Aptos" w:hAnsi="Aptos"/>
            <w:sz w:val="24"/>
            <w:szCs w:val="24"/>
            <w:highlight w:val="yellow"/>
          </w:rPr>
          <w:t>here</w:t>
        </w:r>
      </w:hyperlink>
      <w:r w:rsidR="00D37993" w:rsidRPr="00127810">
        <w:rPr>
          <w:rFonts w:ascii="Aptos" w:hAnsi="Aptos"/>
          <w:sz w:val="24"/>
          <w:szCs w:val="24"/>
          <w:highlight w:val="yellow"/>
        </w:rPr>
        <w:t xml:space="preserve"> for a copy.</w:t>
      </w:r>
    </w:p>
    <w:sectPr w:rsidR="00AC0735" w:rsidRPr="0012781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8155A"/>
    <w:multiLevelType w:val="hybridMultilevel"/>
    <w:tmpl w:val="A46E9100"/>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2934A05"/>
    <w:multiLevelType w:val="hybridMultilevel"/>
    <w:tmpl w:val="CFF43DC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28147459">
    <w:abstractNumId w:val="0"/>
  </w:num>
  <w:num w:numId="2" w16cid:durableId="481312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5C"/>
    <w:rsid w:val="000C6B2B"/>
    <w:rsid w:val="001104AB"/>
    <w:rsid w:val="00127810"/>
    <w:rsid w:val="00173B1A"/>
    <w:rsid w:val="00195457"/>
    <w:rsid w:val="0019799C"/>
    <w:rsid w:val="001A745F"/>
    <w:rsid w:val="001B6056"/>
    <w:rsid w:val="001C6DF9"/>
    <w:rsid w:val="00273456"/>
    <w:rsid w:val="003662F5"/>
    <w:rsid w:val="003B7378"/>
    <w:rsid w:val="00482319"/>
    <w:rsid w:val="00495EDE"/>
    <w:rsid w:val="004F6F5C"/>
    <w:rsid w:val="00581759"/>
    <w:rsid w:val="005B5CCF"/>
    <w:rsid w:val="005D5179"/>
    <w:rsid w:val="00624B00"/>
    <w:rsid w:val="006B4288"/>
    <w:rsid w:val="006F56D0"/>
    <w:rsid w:val="007341D4"/>
    <w:rsid w:val="00756ABA"/>
    <w:rsid w:val="007F6790"/>
    <w:rsid w:val="00806907"/>
    <w:rsid w:val="008167FC"/>
    <w:rsid w:val="0095653C"/>
    <w:rsid w:val="00997151"/>
    <w:rsid w:val="009B5863"/>
    <w:rsid w:val="00A018B7"/>
    <w:rsid w:val="00A07F08"/>
    <w:rsid w:val="00A2512F"/>
    <w:rsid w:val="00AA5CC8"/>
    <w:rsid w:val="00AB20A8"/>
    <w:rsid w:val="00AC0735"/>
    <w:rsid w:val="00AD1FAA"/>
    <w:rsid w:val="00AE2654"/>
    <w:rsid w:val="00B1618F"/>
    <w:rsid w:val="00B44D29"/>
    <w:rsid w:val="00BD62DA"/>
    <w:rsid w:val="00C06AFF"/>
    <w:rsid w:val="00C677C9"/>
    <w:rsid w:val="00C74BB1"/>
    <w:rsid w:val="00C841FA"/>
    <w:rsid w:val="00D37993"/>
    <w:rsid w:val="00D463C0"/>
    <w:rsid w:val="00D95A5E"/>
    <w:rsid w:val="00DF129A"/>
    <w:rsid w:val="00E1337E"/>
    <w:rsid w:val="00E56DA7"/>
    <w:rsid w:val="00E65F5E"/>
    <w:rsid w:val="00E80696"/>
    <w:rsid w:val="00E82EF3"/>
    <w:rsid w:val="00F86CAA"/>
    <w:rsid w:val="00FD5C6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1ED15"/>
  <w15:chartTrackingRefBased/>
  <w15:docId w15:val="{C528FCC9-3605-4206-80C5-D5A5EC46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F6F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6F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6F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6F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6F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6F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F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F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F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F5C"/>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4F6F5C"/>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4F6F5C"/>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4F6F5C"/>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4F6F5C"/>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4F6F5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F6F5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F6F5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F6F5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F6F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F5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F6F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F5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F6F5C"/>
    <w:pPr>
      <w:spacing w:before="160"/>
      <w:jc w:val="center"/>
    </w:pPr>
    <w:rPr>
      <w:i/>
      <w:iCs/>
      <w:color w:val="404040" w:themeColor="text1" w:themeTint="BF"/>
    </w:rPr>
  </w:style>
  <w:style w:type="character" w:customStyle="1" w:styleId="QuoteChar">
    <w:name w:val="Quote Char"/>
    <w:basedOn w:val="DefaultParagraphFont"/>
    <w:link w:val="Quote"/>
    <w:uiPriority w:val="29"/>
    <w:rsid w:val="004F6F5C"/>
    <w:rPr>
      <w:i/>
      <w:iCs/>
      <w:color w:val="404040" w:themeColor="text1" w:themeTint="BF"/>
      <w:lang w:val="en-GB"/>
    </w:rPr>
  </w:style>
  <w:style w:type="paragraph" w:styleId="ListParagraph">
    <w:name w:val="List Paragraph"/>
    <w:basedOn w:val="Normal"/>
    <w:uiPriority w:val="34"/>
    <w:qFormat/>
    <w:rsid w:val="004F6F5C"/>
    <w:pPr>
      <w:ind w:left="720"/>
      <w:contextualSpacing/>
    </w:pPr>
  </w:style>
  <w:style w:type="character" w:styleId="IntenseEmphasis">
    <w:name w:val="Intense Emphasis"/>
    <w:basedOn w:val="DefaultParagraphFont"/>
    <w:uiPriority w:val="21"/>
    <w:qFormat/>
    <w:rsid w:val="004F6F5C"/>
    <w:rPr>
      <w:i/>
      <w:iCs/>
      <w:color w:val="2F5496" w:themeColor="accent1" w:themeShade="BF"/>
    </w:rPr>
  </w:style>
  <w:style w:type="paragraph" w:styleId="IntenseQuote">
    <w:name w:val="Intense Quote"/>
    <w:basedOn w:val="Normal"/>
    <w:next w:val="Normal"/>
    <w:link w:val="IntenseQuoteChar"/>
    <w:uiPriority w:val="30"/>
    <w:qFormat/>
    <w:rsid w:val="004F6F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6F5C"/>
    <w:rPr>
      <w:i/>
      <w:iCs/>
      <w:color w:val="2F5496" w:themeColor="accent1" w:themeShade="BF"/>
      <w:lang w:val="en-GB"/>
    </w:rPr>
  </w:style>
  <w:style w:type="character" w:styleId="IntenseReference">
    <w:name w:val="Intense Reference"/>
    <w:basedOn w:val="DefaultParagraphFont"/>
    <w:uiPriority w:val="32"/>
    <w:qFormat/>
    <w:rsid w:val="004F6F5C"/>
    <w:rPr>
      <w:b/>
      <w:bCs/>
      <w:smallCaps/>
      <w:color w:val="2F5496" w:themeColor="accent1" w:themeShade="BF"/>
      <w:spacing w:val="5"/>
    </w:rPr>
  </w:style>
  <w:style w:type="character" w:styleId="Hyperlink">
    <w:name w:val="Hyperlink"/>
    <w:basedOn w:val="DefaultParagraphFont"/>
    <w:uiPriority w:val="99"/>
    <w:unhideWhenUsed/>
    <w:rsid w:val="00173B1A"/>
    <w:rPr>
      <w:color w:val="0563C1" w:themeColor="hyperlink"/>
      <w:u w:val="single"/>
    </w:rPr>
  </w:style>
  <w:style w:type="character" w:styleId="UnresolvedMention">
    <w:name w:val="Unresolved Mention"/>
    <w:basedOn w:val="DefaultParagraphFont"/>
    <w:uiPriority w:val="99"/>
    <w:semiHidden/>
    <w:unhideWhenUsed/>
    <w:rsid w:val="00173B1A"/>
    <w:rPr>
      <w:color w:val="605E5C"/>
      <w:shd w:val="clear" w:color="auto" w:fill="E1DFDD"/>
    </w:rPr>
  </w:style>
  <w:style w:type="paragraph" w:customStyle="1" w:styleId="Default">
    <w:name w:val="Default"/>
    <w:rsid w:val="00756AB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1.squarespace.com/static/5cacbb42a568278dd5430feb/t/5e2f05490da50c6230430a77/1580139856606/2020+Oliver+and+Ohlbaum+Associates+-+The+impact+of+potential+changes+to+European+geo-blocking+regulation+on+sport.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xera.com/insights/reports/the-impact-of-including-av-in-eu-geoblocking-regulation/" TargetMode="External"/><Relationship Id="rId12" Type="http://schemas.openxmlformats.org/officeDocument/2006/relationships/hyperlink" Target="https://www.ivf-video.org/_files/ugd/7bf01a_366b3550245444229c3d4b27ae06a39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vf-video.org/_files/ugd/7bf01a_5f5efbb932be463ea1e0fc8ec1b38ece.pdf" TargetMode="External"/><Relationship Id="rId11" Type="http://schemas.openxmlformats.org/officeDocument/2006/relationships/hyperlink" Target="https://www.ivf-video.org/_files/ugd/7bf01a_366b3550245444229c3d4b27ae06a393.pdf" TargetMode="External"/><Relationship Id="rId5" Type="http://schemas.openxmlformats.org/officeDocument/2006/relationships/hyperlink" Target="https://ec.europa.eu/info/law/better-regulation/have-your-say/initiatives/14416-Geo-blocking-Regulation-evaluation_en" TargetMode="External"/><Relationship Id="rId10" Type="http://schemas.openxmlformats.org/officeDocument/2006/relationships/hyperlink" Target="https://www.europarl.europa.eu/RegData/etudes/IDAN/2023/740255/EPRS_IDA(2023)740255_EN.pdf" TargetMode="External"/><Relationship Id="rId4" Type="http://schemas.openxmlformats.org/officeDocument/2006/relationships/webSettings" Target="webSettings.xml"/><Relationship Id="rId9" Type="http://schemas.openxmlformats.org/officeDocument/2006/relationships/hyperlink" Target="https://rm.coe.int/iris-plus-2023-02en/1680abd676"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757</Words>
  <Characters>4623</Characters>
  <Application>Microsoft Office Word</Application>
  <DocSecurity>0</DocSecurity>
  <Lines>38</Lines>
  <Paragraphs>10</Paragraphs>
  <ScaleCrop>false</ScaleCrop>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Lund Thomsen</dc:creator>
  <cp:keywords/>
  <dc:description/>
  <cp:lastModifiedBy>Charlotte Lund Thomsen</cp:lastModifiedBy>
  <cp:revision>54</cp:revision>
  <dcterms:created xsi:type="dcterms:W3CDTF">2025-02-19T14:35:00Z</dcterms:created>
  <dcterms:modified xsi:type="dcterms:W3CDTF">2025-02-19T15:41:00Z</dcterms:modified>
</cp:coreProperties>
</file>